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A22" w14:textId="77777777" w:rsidR="00AA1E16" w:rsidRPr="0062746F" w:rsidRDefault="00AA1E16" w:rsidP="00D32F99">
      <w:pPr>
        <w:spacing w:before="100" w:beforeAutospacing="1" w:after="100" w:afterAutospacing="1" w:line="240" w:lineRule="auto"/>
        <w:jc w:val="center"/>
        <w:outlineLvl w:val="0"/>
        <w:rPr>
          <w:rFonts w:ascii="Avenir Book" w:eastAsia="Times New Roman" w:hAnsi="Avenir Book" w:cs="Times New Roman"/>
          <w:b/>
          <w:bCs/>
          <w:kern w:val="36"/>
          <w:sz w:val="28"/>
          <w:szCs w:val="28"/>
          <w14:ligatures w14:val="none"/>
        </w:rPr>
      </w:pPr>
      <w:r w:rsidRPr="0062746F">
        <w:rPr>
          <w:rFonts w:ascii="Avenir Book" w:eastAsia="Times New Roman" w:hAnsi="Avenir Book" w:cs="Times New Roman"/>
          <w:b/>
          <w:bCs/>
          <w:kern w:val="36"/>
          <w:sz w:val="28"/>
          <w:szCs w:val="28"/>
          <w14:ligatures w14:val="none"/>
        </w:rPr>
        <w:t>Mental Health First Aid (MHFA) Program</w:t>
      </w:r>
    </w:p>
    <w:p w14:paraId="7850625E" w14:textId="4BD18C1C" w:rsidR="00AA1E16" w:rsidRPr="0062746F" w:rsidRDefault="00AA1E16" w:rsidP="00D32F99">
      <w:pPr>
        <w:spacing w:after="100" w:afterAutospacing="1" w:line="240" w:lineRule="auto"/>
        <w:contextualSpacing/>
        <w:jc w:val="center"/>
        <w:rPr>
          <w:rFonts w:ascii="Avenir Book" w:eastAsia="Times New Roman" w:hAnsi="Avenir Book" w:cs="Times New Roman"/>
          <w:kern w:val="0"/>
          <w:sz w:val="28"/>
          <w:szCs w:val="28"/>
          <w14:ligatures w14:val="none"/>
        </w:rPr>
      </w:pPr>
      <w:r w:rsidRPr="0062746F">
        <w:rPr>
          <w:rFonts w:ascii="Avenir Book" w:eastAsia="Times New Roman" w:hAnsi="Avenir Book" w:cs="Times New Roman"/>
          <w:b/>
          <w:bCs/>
          <w:kern w:val="0"/>
          <w:sz w:val="28"/>
          <w:szCs w:val="28"/>
          <w14:ligatures w14:val="none"/>
        </w:rPr>
        <w:t>Operational Summary and Results to Date (2024 - 2026)</w:t>
      </w:r>
    </w:p>
    <w:p w14:paraId="049B44DA" w14:textId="77777777" w:rsidR="00D32F99" w:rsidRDefault="00D32F99" w:rsidP="00D32F99">
      <w:pPr>
        <w:spacing w:before="100" w:beforeAutospacing="1" w:after="100" w:afterAutospacing="1" w:line="240" w:lineRule="auto"/>
        <w:contextualSpacing/>
        <w:outlineLvl w:val="1"/>
        <w:rPr>
          <w:rFonts w:ascii="Avenir Book" w:eastAsia="Times New Roman" w:hAnsi="Avenir Book" w:cs="Times New Roman"/>
          <w:b/>
          <w:bCs/>
          <w:kern w:val="0"/>
          <w:sz w:val="27"/>
          <w:szCs w:val="27"/>
          <w14:ligatures w14:val="none"/>
        </w:rPr>
      </w:pPr>
    </w:p>
    <w:p w14:paraId="145E34EE" w14:textId="7D215557" w:rsidR="00DB3EF8" w:rsidRPr="00DB3EF8" w:rsidRDefault="00646CE8" w:rsidP="00DB3EF8">
      <w:pPr>
        <w:spacing w:after="0" w:line="240" w:lineRule="auto"/>
        <w:contextualSpacing/>
        <w:outlineLvl w:val="1"/>
        <w:rPr>
          <w:rFonts w:ascii="Avenir Book" w:eastAsia="Times New Roman" w:hAnsi="Avenir Book" w:cs="Times New Roman"/>
          <w:b/>
          <w:bCs/>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Participation and Reach</w:t>
      </w:r>
    </w:p>
    <w:p w14:paraId="3EE108E0" w14:textId="48F3D4A3" w:rsidR="00DB3EF8" w:rsidRPr="0062746F" w:rsidRDefault="00646CE8" w:rsidP="00646CE8">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 xml:space="preserve">The MHFA program is delivered across a </w:t>
      </w:r>
      <w:r w:rsidR="00DB3EF8" w:rsidRPr="00DB3EF8">
        <w:rPr>
          <w:rFonts w:ascii="Avenir Book" w:eastAsia="Times New Roman" w:hAnsi="Avenir Book" w:cs="Times New Roman"/>
          <w:kern w:val="0"/>
          <w:sz w:val="22"/>
          <w:szCs w:val="22"/>
          <w14:ligatures w14:val="none"/>
        </w:rPr>
        <w:t>wide range of Australian universities offering allied health education</w:t>
      </w:r>
      <w:r w:rsidRPr="0062746F">
        <w:rPr>
          <w:rFonts w:ascii="Avenir Book" w:eastAsia="Times New Roman" w:hAnsi="Avenir Book" w:cs="Times New Roman"/>
          <w:kern w:val="0"/>
          <w:sz w:val="22"/>
          <w:szCs w:val="22"/>
          <w14:ligatures w14:val="none"/>
        </w:rPr>
        <w:t>.</w:t>
      </w:r>
      <w:r w:rsidR="00DB3EF8">
        <w:rPr>
          <w:rFonts w:ascii="Avenir Book" w:eastAsia="Times New Roman" w:hAnsi="Avenir Book" w:cs="Times New Roman"/>
          <w:kern w:val="0"/>
          <w:sz w:val="22"/>
          <w:szCs w:val="22"/>
          <w14:ligatures w14:val="none"/>
        </w:rPr>
        <w:t xml:space="preserve"> </w:t>
      </w:r>
      <w:r w:rsidR="00DB3EF8" w:rsidRPr="00DB3EF8">
        <w:rPr>
          <w:rFonts w:ascii="Avenir Book" w:eastAsia="Times New Roman" w:hAnsi="Avenir Book" w:cs="Times New Roman"/>
          <w:kern w:val="0"/>
          <w:sz w:val="22"/>
          <w:szCs w:val="22"/>
          <w14:ligatures w14:val="none"/>
        </w:rPr>
        <w:t>Through the partnership between ACDHS, MDANZ and CDNM, the program provides free MHFA eLearning training to students in participating allied health programs, alongside the development of university-based MHFA instructors.</w:t>
      </w:r>
    </w:p>
    <w:p w14:paraId="395A935F" w14:textId="422A6056" w:rsidR="00646CE8" w:rsidRPr="0062746F" w:rsidRDefault="00646CE8" w:rsidP="00646CE8">
      <w:pPr>
        <w:spacing w:before="100" w:beforeAutospacing="1" w:after="100" w:afterAutospacing="1" w:line="240" w:lineRule="auto"/>
        <w:rPr>
          <w:rFonts w:ascii="Avenir Book" w:eastAsia="Times New Roman" w:hAnsi="Avenir Book" w:cs="Times New Roman"/>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Voucher Allocation and Usage (2025)</w:t>
      </w:r>
    </w:p>
    <w:tbl>
      <w:tblPr>
        <w:tblW w:w="6367" w:type="dxa"/>
        <w:tblCellSpacing w:w="15" w:type="dxa"/>
        <w:tblCellMar>
          <w:top w:w="15" w:type="dxa"/>
          <w:left w:w="15" w:type="dxa"/>
          <w:bottom w:w="15" w:type="dxa"/>
          <w:right w:w="15" w:type="dxa"/>
        </w:tblCellMar>
        <w:tblLook w:val="04A0" w:firstRow="1" w:lastRow="0" w:firstColumn="1" w:lastColumn="0" w:noHBand="0" w:noVBand="1"/>
      </w:tblPr>
      <w:tblGrid>
        <w:gridCol w:w="4411"/>
        <w:gridCol w:w="1956"/>
      </w:tblGrid>
      <w:tr w:rsidR="00646CE8" w:rsidRPr="0062746F" w14:paraId="46964676" w14:textId="77777777" w:rsidTr="00AA1E16">
        <w:trPr>
          <w:trHeight w:val="337"/>
          <w:tblHeader/>
          <w:tblCellSpacing w:w="15" w:type="dxa"/>
        </w:trPr>
        <w:tc>
          <w:tcPr>
            <w:tcW w:w="0" w:type="auto"/>
            <w:vAlign w:val="center"/>
            <w:hideMark/>
          </w:tcPr>
          <w:p w14:paraId="62D47EC6" w14:textId="77777777" w:rsidR="00646CE8" w:rsidRPr="0062746F" w:rsidRDefault="00646CE8" w:rsidP="00AA1E16">
            <w:pPr>
              <w:spacing w:after="0" w:line="240" w:lineRule="auto"/>
              <w:rPr>
                <w:rFonts w:ascii="Avenir Book" w:eastAsia="Times New Roman" w:hAnsi="Avenir Book" w:cs="Times New Roman"/>
                <w:b/>
                <w:bCs/>
                <w:kern w:val="0"/>
                <w:sz w:val="22"/>
                <w:szCs w:val="22"/>
                <w14:ligatures w14:val="none"/>
              </w:rPr>
            </w:pPr>
            <w:r w:rsidRPr="0062746F">
              <w:rPr>
                <w:rFonts w:ascii="Avenir Book" w:eastAsia="Times New Roman" w:hAnsi="Avenir Book" w:cs="Times New Roman"/>
                <w:b/>
                <w:bCs/>
                <w:kern w:val="0"/>
                <w:sz w:val="22"/>
                <w:szCs w:val="22"/>
                <w14:ligatures w14:val="none"/>
              </w:rPr>
              <w:t>Measure</w:t>
            </w:r>
          </w:p>
        </w:tc>
        <w:tc>
          <w:tcPr>
            <w:tcW w:w="0" w:type="auto"/>
            <w:vAlign w:val="center"/>
            <w:hideMark/>
          </w:tcPr>
          <w:p w14:paraId="0D1054EA" w14:textId="77777777" w:rsidR="00646CE8" w:rsidRPr="0062746F" w:rsidRDefault="00646CE8" w:rsidP="00551701">
            <w:pPr>
              <w:spacing w:after="0" w:line="240" w:lineRule="auto"/>
              <w:rPr>
                <w:rFonts w:ascii="Avenir Book" w:eastAsia="Times New Roman" w:hAnsi="Avenir Book" w:cs="Times New Roman"/>
                <w:b/>
                <w:bCs/>
                <w:kern w:val="0"/>
                <w:sz w:val="22"/>
                <w:szCs w:val="22"/>
                <w14:ligatures w14:val="none"/>
              </w:rPr>
            </w:pPr>
            <w:r w:rsidRPr="0062746F">
              <w:rPr>
                <w:rFonts w:ascii="Avenir Book" w:eastAsia="Times New Roman" w:hAnsi="Avenir Book" w:cs="Times New Roman"/>
                <w:b/>
                <w:bCs/>
                <w:kern w:val="0"/>
                <w:sz w:val="22"/>
                <w:szCs w:val="22"/>
                <w14:ligatures w14:val="none"/>
              </w:rPr>
              <w:t>Allied Health</w:t>
            </w:r>
          </w:p>
        </w:tc>
      </w:tr>
      <w:tr w:rsidR="00646CE8" w:rsidRPr="0062746F" w14:paraId="54E5108C" w14:textId="77777777" w:rsidTr="00AA1E16">
        <w:trPr>
          <w:trHeight w:val="352"/>
          <w:tblCellSpacing w:w="15" w:type="dxa"/>
        </w:trPr>
        <w:tc>
          <w:tcPr>
            <w:tcW w:w="0" w:type="auto"/>
            <w:vAlign w:val="center"/>
            <w:hideMark/>
          </w:tcPr>
          <w:p w14:paraId="0E19F237"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Total vouchers allocated</w:t>
            </w:r>
          </w:p>
        </w:tc>
        <w:tc>
          <w:tcPr>
            <w:tcW w:w="0" w:type="auto"/>
            <w:vAlign w:val="center"/>
            <w:hideMark/>
          </w:tcPr>
          <w:p w14:paraId="146DD730"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b/>
                <w:bCs/>
                <w:kern w:val="0"/>
                <w:sz w:val="22"/>
                <w:szCs w:val="22"/>
                <w14:ligatures w14:val="none"/>
              </w:rPr>
              <w:t>13,458</w:t>
            </w:r>
          </w:p>
        </w:tc>
      </w:tr>
      <w:tr w:rsidR="00646CE8" w:rsidRPr="0062746F" w14:paraId="28A09843" w14:textId="77777777" w:rsidTr="00AA1E16">
        <w:trPr>
          <w:trHeight w:val="337"/>
          <w:tblCellSpacing w:w="15" w:type="dxa"/>
        </w:trPr>
        <w:tc>
          <w:tcPr>
            <w:tcW w:w="0" w:type="auto"/>
            <w:vAlign w:val="center"/>
            <w:hideMark/>
          </w:tcPr>
          <w:p w14:paraId="72B8A8F7"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Students commenced training</w:t>
            </w:r>
          </w:p>
        </w:tc>
        <w:tc>
          <w:tcPr>
            <w:tcW w:w="0" w:type="auto"/>
            <w:vAlign w:val="center"/>
            <w:hideMark/>
          </w:tcPr>
          <w:p w14:paraId="31371154"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b/>
                <w:bCs/>
                <w:kern w:val="0"/>
                <w:sz w:val="22"/>
                <w:szCs w:val="22"/>
                <w14:ligatures w14:val="none"/>
              </w:rPr>
              <w:t>1,686</w:t>
            </w:r>
          </w:p>
        </w:tc>
      </w:tr>
      <w:tr w:rsidR="00646CE8" w:rsidRPr="0062746F" w14:paraId="31FB1897" w14:textId="77777777" w:rsidTr="00AA1E16">
        <w:trPr>
          <w:trHeight w:val="337"/>
          <w:tblCellSpacing w:w="15" w:type="dxa"/>
        </w:trPr>
        <w:tc>
          <w:tcPr>
            <w:tcW w:w="0" w:type="auto"/>
            <w:vAlign w:val="center"/>
            <w:hideMark/>
          </w:tcPr>
          <w:p w14:paraId="33FE0687"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Students completed training</w:t>
            </w:r>
          </w:p>
        </w:tc>
        <w:tc>
          <w:tcPr>
            <w:tcW w:w="0" w:type="auto"/>
            <w:vAlign w:val="center"/>
            <w:hideMark/>
          </w:tcPr>
          <w:p w14:paraId="334D27C2"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b/>
                <w:bCs/>
                <w:kern w:val="0"/>
                <w:sz w:val="22"/>
                <w:szCs w:val="22"/>
                <w14:ligatures w14:val="none"/>
              </w:rPr>
              <w:t>3,939</w:t>
            </w:r>
          </w:p>
        </w:tc>
      </w:tr>
      <w:tr w:rsidR="00646CE8" w:rsidRPr="0062746F" w14:paraId="36204BA1" w14:textId="77777777" w:rsidTr="00AA1E16">
        <w:trPr>
          <w:trHeight w:val="352"/>
          <w:tblCellSpacing w:w="15" w:type="dxa"/>
        </w:trPr>
        <w:tc>
          <w:tcPr>
            <w:tcW w:w="0" w:type="auto"/>
            <w:vAlign w:val="center"/>
            <w:hideMark/>
          </w:tcPr>
          <w:p w14:paraId="08EB2DE7"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Remaining vouchers</w:t>
            </w:r>
          </w:p>
        </w:tc>
        <w:tc>
          <w:tcPr>
            <w:tcW w:w="0" w:type="auto"/>
            <w:vAlign w:val="center"/>
            <w:hideMark/>
          </w:tcPr>
          <w:p w14:paraId="414CB09D" w14:textId="77777777" w:rsidR="00646CE8" w:rsidRPr="0062746F" w:rsidRDefault="00646CE8" w:rsidP="00646CE8">
            <w:pPr>
              <w:spacing w:after="0"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b/>
                <w:bCs/>
                <w:kern w:val="0"/>
                <w:sz w:val="22"/>
                <w:szCs w:val="22"/>
                <w14:ligatures w14:val="none"/>
              </w:rPr>
              <w:t>5,625</w:t>
            </w:r>
          </w:p>
        </w:tc>
      </w:tr>
    </w:tbl>
    <w:p w14:paraId="3342E01C" w14:textId="566B4135" w:rsidR="00646CE8" w:rsidRPr="0062746F" w:rsidRDefault="00646CE8" w:rsidP="00551701">
      <w:pPr>
        <w:spacing w:line="240" w:lineRule="auto"/>
        <w:rPr>
          <w:rFonts w:ascii="Avenir Book" w:eastAsia="Times New Roman" w:hAnsi="Avenir Book" w:cs="Times New Roman"/>
          <w:kern w:val="0"/>
          <w:sz w:val="16"/>
          <w:szCs w:val="16"/>
          <w14:ligatures w14:val="none"/>
        </w:rPr>
      </w:pPr>
      <w:r w:rsidRPr="0062746F">
        <w:rPr>
          <w:rFonts w:ascii="Arial" w:hAnsi="Arial" w:cs="Arial"/>
          <w:color w:val="000000" w:themeColor="text1"/>
          <w:sz w:val="16"/>
          <w:szCs w:val="16"/>
        </w:rPr>
        <w:t>These figures do not reflect vouchers from students who enrolled prior to 15 December but had not commenced any single module by 15 December. These vouchers were withdrawn and considered “unused”, returning to the remaining voucher pool.</w:t>
      </w:r>
    </w:p>
    <w:p w14:paraId="0264E1DF" w14:textId="611E5723" w:rsidR="00551701" w:rsidRPr="0062746F" w:rsidRDefault="00551701" w:rsidP="00551701">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 xml:space="preserve">The proportion of unused vouchers declined from approximately 70% in 2024 to 38% in 2025, demonstrating significantly increased engagement from both universities and students as the program has matured. </w:t>
      </w:r>
    </w:p>
    <w:p w14:paraId="40C87867" w14:textId="63F2D327" w:rsidR="00646CE8" w:rsidRPr="0062746F" w:rsidRDefault="00DB3EF8" w:rsidP="00646CE8">
      <w:pPr>
        <w:numPr>
          <w:ilvl w:val="0"/>
          <w:numId w:val="1"/>
        </w:numPr>
        <w:spacing w:before="100" w:beforeAutospacing="1" w:after="100" w:afterAutospacing="1" w:line="240" w:lineRule="auto"/>
        <w:rPr>
          <w:rFonts w:ascii="Avenir Book" w:eastAsia="Times New Roman" w:hAnsi="Avenir Book" w:cs="Times New Roman"/>
          <w:kern w:val="0"/>
          <w:sz w:val="22"/>
          <w:szCs w:val="22"/>
          <w14:ligatures w14:val="none"/>
        </w:rPr>
      </w:pPr>
      <w:r>
        <w:rPr>
          <w:rFonts w:ascii="Avenir Book" w:eastAsia="Times New Roman" w:hAnsi="Avenir Book" w:cs="Times New Roman"/>
          <w:kern w:val="0"/>
          <w:sz w:val="22"/>
          <w:szCs w:val="22"/>
          <w14:ligatures w14:val="none"/>
        </w:rPr>
        <w:t>28</w:t>
      </w:r>
      <w:r w:rsidR="00646CE8" w:rsidRPr="0062746F">
        <w:rPr>
          <w:rFonts w:ascii="Avenir Book" w:eastAsia="Times New Roman" w:hAnsi="Avenir Book" w:cs="Times New Roman"/>
          <w:kern w:val="0"/>
          <w:sz w:val="22"/>
          <w:szCs w:val="22"/>
          <w14:ligatures w14:val="none"/>
        </w:rPr>
        <w:t xml:space="preserve"> universities participate in the program through ACDHS.</w:t>
      </w:r>
    </w:p>
    <w:p w14:paraId="65BFE1C8" w14:textId="28F427B4" w:rsidR="00646CE8" w:rsidRPr="0062746F" w:rsidRDefault="00646CE8" w:rsidP="00646CE8">
      <w:pPr>
        <w:numPr>
          <w:ilvl w:val="0"/>
          <w:numId w:val="1"/>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Allied health accounts for the largest share of MHFA student places across the three councils (~48%)</w:t>
      </w:r>
    </w:p>
    <w:p w14:paraId="0D4591BF" w14:textId="77777777" w:rsidR="00646CE8" w:rsidRPr="0062746F" w:rsidRDefault="00646CE8" w:rsidP="00646CE8">
      <w:pPr>
        <w:numPr>
          <w:ilvl w:val="0"/>
          <w:numId w:val="1"/>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Completion among students who commenced the course is high, reflecting strong engagement once students begin the training.</w:t>
      </w:r>
    </w:p>
    <w:p w14:paraId="3D18F3CB" w14:textId="77777777" w:rsidR="00464BED" w:rsidRPr="0062746F" w:rsidRDefault="00464BED" w:rsidP="00464BED">
      <w:pPr>
        <w:spacing w:before="100" w:beforeAutospacing="1" w:after="100" w:afterAutospacing="1" w:line="240" w:lineRule="auto"/>
        <w:rPr>
          <w:rFonts w:ascii="Avenir Book" w:eastAsia="Times New Roman" w:hAnsi="Avenir Book" w:cs="Times New Roman"/>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Student completion growth</w:t>
      </w:r>
    </w:p>
    <w:p w14:paraId="014D907C" w14:textId="77777777" w:rsidR="00464BED" w:rsidRPr="0062746F" w:rsidRDefault="00464BED" w:rsidP="00D32F99">
      <w:pPr>
        <w:pStyle w:val="ListParagraph"/>
        <w:numPr>
          <w:ilvl w:val="0"/>
          <w:numId w:val="6"/>
        </w:numPr>
        <w:rPr>
          <w:rFonts w:ascii="Avenir Book" w:hAnsi="Avenir Book"/>
          <w:sz w:val="22"/>
          <w:szCs w:val="22"/>
        </w:rPr>
      </w:pPr>
      <w:r w:rsidRPr="0062746F">
        <w:rPr>
          <w:rFonts w:ascii="Avenir Book" w:hAnsi="Avenir Book"/>
          <w:sz w:val="22"/>
          <w:szCs w:val="22"/>
        </w:rPr>
        <w:t>June 2025 completions: 1,741</w:t>
      </w:r>
    </w:p>
    <w:p w14:paraId="17ACA171" w14:textId="77777777" w:rsidR="00464BED" w:rsidRPr="0062746F" w:rsidRDefault="00464BED" w:rsidP="00D32F99">
      <w:pPr>
        <w:pStyle w:val="ListParagraph"/>
        <w:numPr>
          <w:ilvl w:val="0"/>
          <w:numId w:val="6"/>
        </w:numPr>
        <w:rPr>
          <w:rFonts w:ascii="Avenir Book" w:hAnsi="Avenir Book"/>
          <w:sz w:val="22"/>
          <w:szCs w:val="22"/>
        </w:rPr>
      </w:pPr>
      <w:r w:rsidRPr="0062746F">
        <w:rPr>
          <w:rFonts w:ascii="Avenir Book" w:hAnsi="Avenir Book"/>
          <w:sz w:val="22"/>
          <w:szCs w:val="22"/>
        </w:rPr>
        <w:t>Dec 2025 completions: 3,939</w:t>
      </w:r>
    </w:p>
    <w:p w14:paraId="6DA70FE0" w14:textId="16483DA8" w:rsidR="00464BED" w:rsidRPr="0062746F" w:rsidRDefault="00DB3EF8" w:rsidP="00464BED">
      <w:pPr>
        <w:rPr>
          <w:rFonts w:ascii="Avenir Book" w:hAnsi="Avenir Book"/>
          <w:sz w:val="22"/>
          <w:szCs w:val="22"/>
        </w:rPr>
      </w:pPr>
      <w:r w:rsidRPr="00DB3EF8">
        <w:rPr>
          <w:rFonts w:ascii="Avenir Book" w:hAnsi="Avenir Book"/>
          <w:sz w:val="22"/>
          <w:szCs w:val="22"/>
        </w:rPr>
        <w:t>Allied health student completions increased significantly between 2024 and 2025, with overall program utilisation improving from approximately 30–50% in 2024 to around 62% in 2025</w:t>
      </w:r>
      <w:r>
        <w:rPr>
          <w:rFonts w:ascii="Avenir Book" w:hAnsi="Avenir Book"/>
          <w:sz w:val="22"/>
          <w:szCs w:val="22"/>
        </w:rPr>
        <w:t>,</w:t>
      </w:r>
      <w:r w:rsidR="00464BED" w:rsidRPr="0062746F">
        <w:rPr>
          <w:rFonts w:ascii="Avenir Book" w:hAnsi="Avenir Book"/>
          <w:sz w:val="22"/>
          <w:szCs w:val="22"/>
        </w:rPr>
        <w:t xml:space="preserve"> reflecting increasing engagement as universities began embedding the program within course structures.</w:t>
      </w:r>
    </w:p>
    <w:p w14:paraId="2C0E11E4" w14:textId="108AD80D" w:rsidR="00551701" w:rsidRPr="0062746F" w:rsidRDefault="00646CE8" w:rsidP="00044B4D">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A growing number of allied health schools are now positioning the MHFA training as an expected or embedded component of their programs, rather than as a purely optional activity.</w:t>
      </w:r>
    </w:p>
    <w:p w14:paraId="673EC43A" w14:textId="77777777" w:rsidR="00073844" w:rsidRPr="0062746F" w:rsidRDefault="00073844" w:rsidP="00073844">
      <w:pPr>
        <w:spacing w:before="100" w:beforeAutospacing="1" w:after="100" w:afterAutospacing="1" w:line="240" w:lineRule="auto"/>
        <w:outlineLvl w:val="1"/>
        <w:rPr>
          <w:rFonts w:ascii="Avenir Book" w:eastAsia="Times New Roman" w:hAnsi="Avenir Book" w:cs="Times New Roman"/>
          <w:b/>
          <w:bCs/>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Student Outcomes and Feedback</w:t>
      </w:r>
    </w:p>
    <w:p w14:paraId="6DFAD17D" w14:textId="77777777" w:rsidR="00073844" w:rsidRPr="0062746F" w:rsidRDefault="00073844" w:rsidP="00073844">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Student feedback on the MHFA training has been overwhelmingly positive.</w:t>
      </w:r>
    </w:p>
    <w:p w14:paraId="4A43A23E" w14:textId="77777777" w:rsidR="00073844" w:rsidRPr="0062746F" w:rsidRDefault="00073844" w:rsidP="00073844">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Reported outcomes include:</w:t>
      </w:r>
    </w:p>
    <w:p w14:paraId="1FB40BDA" w14:textId="77777777" w:rsidR="00073844" w:rsidRPr="0062746F" w:rsidRDefault="00073844" w:rsidP="00073844">
      <w:pPr>
        <w:numPr>
          <w:ilvl w:val="0"/>
          <w:numId w:val="7"/>
        </w:numPr>
        <w:spacing w:before="100" w:beforeAutospacing="1" w:after="100" w:afterAutospacing="1" w:line="240" w:lineRule="auto"/>
        <w:rPr>
          <w:rFonts w:ascii="Avenir Book" w:eastAsia="Times New Roman" w:hAnsi="Avenir Book" w:cs="Times New Roman"/>
          <w:kern w:val="0"/>
          <w:sz w:val="22"/>
          <w:szCs w:val="22"/>
          <w14:ligatures w14:val="none"/>
        </w:rPr>
      </w:pPr>
      <w:r w:rsidRPr="00DB3EF8">
        <w:rPr>
          <w:rFonts w:ascii="Avenir Book" w:eastAsia="Times New Roman" w:hAnsi="Avenir Book" w:cs="Times New Roman"/>
          <w:kern w:val="0"/>
          <w:sz w:val="22"/>
          <w:szCs w:val="22"/>
          <w14:ligatures w14:val="none"/>
        </w:rPr>
        <w:lastRenderedPageBreak/>
        <w:t>Over 80% of participants reported increased confidence in</w:t>
      </w:r>
      <w:r w:rsidRPr="0062746F">
        <w:rPr>
          <w:rFonts w:ascii="Avenir Book" w:eastAsia="Times New Roman" w:hAnsi="Avenir Book" w:cs="Times New Roman"/>
          <w:kern w:val="0"/>
          <w:sz w:val="22"/>
          <w:szCs w:val="22"/>
          <w14:ligatures w14:val="none"/>
        </w:rPr>
        <w:t xml:space="preserve"> initiating conversations with peers about mental health. </w:t>
      </w:r>
    </w:p>
    <w:p w14:paraId="5937702D" w14:textId="77777777" w:rsidR="00073844" w:rsidRPr="0062746F" w:rsidRDefault="00073844" w:rsidP="00073844">
      <w:pPr>
        <w:numPr>
          <w:ilvl w:val="0"/>
          <w:numId w:val="7"/>
        </w:numPr>
        <w:spacing w:before="100" w:beforeAutospacing="1" w:after="100" w:afterAutospacing="1" w:line="240" w:lineRule="auto"/>
        <w:rPr>
          <w:rFonts w:ascii="Avenir Book" w:eastAsia="Times New Roman" w:hAnsi="Avenir Book" w:cs="Times New Roman"/>
          <w:kern w:val="0"/>
          <w:sz w:val="22"/>
          <w:szCs w:val="22"/>
          <w14:ligatures w14:val="none"/>
        </w:rPr>
      </w:pPr>
      <w:r w:rsidRPr="00DB3EF8">
        <w:rPr>
          <w:rFonts w:ascii="Avenir Book" w:eastAsia="Times New Roman" w:hAnsi="Avenir Book" w:cs="Times New Roman"/>
          <w:kern w:val="0"/>
          <w:sz w:val="22"/>
          <w:szCs w:val="22"/>
          <w14:ligatures w14:val="none"/>
        </w:rPr>
        <w:t>More than 95% of students reported satisfaction with</w:t>
      </w:r>
      <w:r w:rsidRPr="0062746F">
        <w:rPr>
          <w:rFonts w:ascii="Avenir Book" w:eastAsia="Times New Roman" w:hAnsi="Avenir Book" w:cs="Times New Roman"/>
          <w:kern w:val="0"/>
          <w:sz w:val="22"/>
          <w:szCs w:val="22"/>
          <w14:ligatures w14:val="none"/>
        </w:rPr>
        <w:t xml:space="preserve"> the quality, clarity and usability of the eLearning course. </w:t>
      </w:r>
    </w:p>
    <w:p w14:paraId="269CC503" w14:textId="52714FAF" w:rsidR="00073844" w:rsidRPr="0062746F" w:rsidRDefault="00073844" w:rsidP="00073844">
      <w:pPr>
        <w:numPr>
          <w:ilvl w:val="0"/>
          <w:numId w:val="7"/>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 xml:space="preserve">Students consistently report that the training improves </w:t>
      </w:r>
      <w:r w:rsidRPr="00DB3EF8">
        <w:rPr>
          <w:rFonts w:ascii="Avenir Book" w:eastAsia="Times New Roman" w:hAnsi="Avenir Book" w:cs="Times New Roman"/>
          <w:kern w:val="0"/>
          <w:sz w:val="22"/>
          <w:szCs w:val="22"/>
          <w14:ligatures w14:val="none"/>
        </w:rPr>
        <w:t>their mental health literacy, self-awareness and ability to support peers experiencing distress.</w:t>
      </w:r>
    </w:p>
    <w:p w14:paraId="05C6547B" w14:textId="7A3A8C3E" w:rsidR="00551701" w:rsidRPr="0062746F" w:rsidRDefault="00551701" w:rsidP="00551701">
      <w:pPr>
        <w:spacing w:before="100" w:beforeAutospacing="1" w:after="100" w:afterAutospacing="1" w:line="240" w:lineRule="auto"/>
        <w:contextualSpacing/>
        <w:outlineLvl w:val="1"/>
        <w:rPr>
          <w:rFonts w:ascii="Avenir Book" w:eastAsia="Times New Roman" w:hAnsi="Avenir Book" w:cs="Times New Roman"/>
          <w:b/>
          <w:bCs/>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Instructor Training (“Train-the</w:t>
      </w:r>
      <w:r w:rsidR="0062746F" w:rsidRPr="0062746F">
        <w:rPr>
          <w:rFonts w:ascii="Avenir Book" w:eastAsia="Times New Roman" w:hAnsi="Avenir Book" w:cs="Times New Roman"/>
          <w:b/>
          <w:bCs/>
          <w:kern w:val="0"/>
          <w:sz w:val="22"/>
          <w:szCs w:val="22"/>
          <w:u w:val="single"/>
          <w14:ligatures w14:val="none"/>
        </w:rPr>
        <w:t>-</w:t>
      </w:r>
      <w:r w:rsidRPr="0062746F">
        <w:rPr>
          <w:rFonts w:ascii="Avenir Book" w:eastAsia="Times New Roman" w:hAnsi="Avenir Book" w:cs="Times New Roman"/>
          <w:b/>
          <w:bCs/>
          <w:kern w:val="0"/>
          <w:sz w:val="22"/>
          <w:szCs w:val="22"/>
          <w:u w:val="single"/>
          <w14:ligatures w14:val="none"/>
        </w:rPr>
        <w:t>Trainer”)</w:t>
      </w:r>
    </w:p>
    <w:p w14:paraId="24A39334" w14:textId="502370F5" w:rsidR="00551701" w:rsidRPr="0062746F" w:rsidRDefault="00551701" w:rsidP="00551701">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A second component of the program focuses on building institutional capacity through MHFA Instructor Training Courses (ITCs) delivered to university staff.</w:t>
      </w:r>
    </w:p>
    <w:p w14:paraId="32530549" w14:textId="77777777" w:rsidR="00551701" w:rsidRPr="0062746F" w:rsidRDefault="00551701" w:rsidP="00DB3EF8">
      <w:pPr>
        <w:spacing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During 2025:</w:t>
      </w:r>
    </w:p>
    <w:p w14:paraId="35FEA1BA" w14:textId="77777777" w:rsidR="00551701" w:rsidRPr="0062746F" w:rsidRDefault="00551701" w:rsidP="00551701">
      <w:pPr>
        <w:numPr>
          <w:ilvl w:val="0"/>
          <w:numId w:val="4"/>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Five instructor training courses were delivered</w:t>
      </w:r>
    </w:p>
    <w:p w14:paraId="048F3F1B" w14:textId="5675C280" w:rsidR="00551701" w:rsidRPr="0062746F" w:rsidRDefault="00551701" w:rsidP="00551701">
      <w:pPr>
        <w:numPr>
          <w:ilvl w:val="0"/>
          <w:numId w:val="4"/>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 xml:space="preserve">21 participants successfully completed instructor training </w:t>
      </w:r>
    </w:p>
    <w:p w14:paraId="06749CD2" w14:textId="77777777" w:rsidR="00551701" w:rsidRPr="0062746F" w:rsidRDefault="00551701" w:rsidP="00551701">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Participation has been lower than anticipated, largely due to the five-day intensive format and staffing constraints within universities. Strategies to improve uptake include earlier communication of training dates, clearer application guidance, and exploration of more flexible delivery formats.</w:t>
      </w:r>
    </w:p>
    <w:p w14:paraId="5C201734" w14:textId="77777777" w:rsidR="006A652B" w:rsidRPr="0062746F" w:rsidRDefault="005E2B4B" w:rsidP="006A652B">
      <w:pPr>
        <w:spacing w:before="100" w:beforeAutospacing="1" w:after="100" w:afterAutospacing="1" w:line="240" w:lineRule="auto"/>
        <w:outlineLvl w:val="1"/>
        <w:rPr>
          <w:rFonts w:ascii="Avenir Book" w:eastAsia="Times New Roman" w:hAnsi="Avenir Book" w:cs="Times New Roman"/>
          <w:b/>
          <w:bCs/>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Looking Ahead</w:t>
      </w:r>
    </w:p>
    <w:p w14:paraId="595C1FD6" w14:textId="4AA94DF2" w:rsidR="005E2B4B" w:rsidRPr="0062746F" w:rsidRDefault="005E2B4B" w:rsidP="006A652B">
      <w:pPr>
        <w:spacing w:before="100" w:beforeAutospacing="1" w:after="100" w:afterAutospacing="1" w:line="240" w:lineRule="auto"/>
        <w:outlineLvl w:val="1"/>
        <w:rPr>
          <w:rFonts w:ascii="Avenir Book" w:eastAsia="Times New Roman" w:hAnsi="Avenir Book" w:cs="Times New Roman"/>
          <w:b/>
          <w:bCs/>
          <w:kern w:val="0"/>
          <w:sz w:val="22"/>
          <w:szCs w:val="22"/>
          <w14:ligatures w14:val="none"/>
        </w:rPr>
      </w:pPr>
      <w:r w:rsidRPr="0062746F">
        <w:rPr>
          <w:rFonts w:ascii="Avenir Book" w:eastAsia="Times New Roman" w:hAnsi="Avenir Book" w:cs="Times New Roman"/>
          <w:kern w:val="0"/>
          <w:sz w:val="22"/>
          <w:szCs w:val="22"/>
          <w14:ligatures w14:val="none"/>
        </w:rPr>
        <w:t>Key priorities for the next phase of the program include:</w:t>
      </w:r>
    </w:p>
    <w:p w14:paraId="3E3E2CC9" w14:textId="77777777" w:rsidR="005E2B4B" w:rsidRPr="0062746F" w:rsidRDefault="005E2B4B" w:rsidP="005E2B4B">
      <w:pPr>
        <w:numPr>
          <w:ilvl w:val="0"/>
          <w:numId w:val="5"/>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Increasing integration of MHFA training into university curricula</w:t>
      </w:r>
    </w:p>
    <w:p w14:paraId="7248DEE7" w14:textId="77777777" w:rsidR="005E2B4B" w:rsidRPr="0062746F" w:rsidRDefault="005E2B4B" w:rsidP="005E2B4B">
      <w:pPr>
        <w:numPr>
          <w:ilvl w:val="0"/>
          <w:numId w:val="5"/>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Encouraging institutions to adopt expected or compulsory participation models</w:t>
      </w:r>
    </w:p>
    <w:p w14:paraId="709C337C" w14:textId="77777777" w:rsidR="005E2B4B" w:rsidRPr="0062746F" w:rsidRDefault="005E2B4B" w:rsidP="005E2B4B">
      <w:pPr>
        <w:numPr>
          <w:ilvl w:val="0"/>
          <w:numId w:val="5"/>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Expanding engagement strategies with course coordinators and school leadership</w:t>
      </w:r>
    </w:p>
    <w:p w14:paraId="337007B8" w14:textId="77777777" w:rsidR="005E2B4B" w:rsidRPr="0062746F" w:rsidRDefault="005E2B4B" w:rsidP="005E2B4B">
      <w:pPr>
        <w:numPr>
          <w:ilvl w:val="0"/>
          <w:numId w:val="5"/>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Improving accessibility and participation in instructor training courses</w:t>
      </w:r>
    </w:p>
    <w:p w14:paraId="6BE4F86E" w14:textId="77777777" w:rsidR="005E2B4B" w:rsidRPr="0062746F" w:rsidRDefault="005E2B4B" w:rsidP="005E2B4B">
      <w:pPr>
        <w:numPr>
          <w:ilvl w:val="0"/>
          <w:numId w:val="5"/>
        </w:num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Demonstrating program impact to support long-term funding beyond the current contract period</w:t>
      </w:r>
    </w:p>
    <w:p w14:paraId="1C3076BB" w14:textId="5B26A963" w:rsidR="00073844" w:rsidRPr="0062746F" w:rsidRDefault="005E2B4B" w:rsidP="005E2B4B">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Planned initiatives include targeted communications campaigns, stakeholder webinars/workshops, and enhanced reporting systems to track uptake and outcomes more effectively.</w:t>
      </w:r>
    </w:p>
    <w:p w14:paraId="279C45EE" w14:textId="77777777" w:rsidR="0081224A" w:rsidRPr="0062746F" w:rsidRDefault="0081224A" w:rsidP="0081224A">
      <w:pPr>
        <w:spacing w:before="100" w:beforeAutospacing="1" w:after="100" w:afterAutospacing="1" w:line="240" w:lineRule="auto"/>
        <w:outlineLvl w:val="1"/>
        <w:rPr>
          <w:rFonts w:ascii="Avenir Book" w:eastAsia="Times New Roman" w:hAnsi="Avenir Book" w:cs="Times New Roman"/>
          <w:b/>
          <w:bCs/>
          <w:kern w:val="0"/>
          <w:sz w:val="22"/>
          <w:szCs w:val="22"/>
          <w:u w:val="single"/>
          <w14:ligatures w14:val="none"/>
        </w:rPr>
      </w:pPr>
      <w:r w:rsidRPr="0062746F">
        <w:rPr>
          <w:rFonts w:ascii="Avenir Book" w:eastAsia="Times New Roman" w:hAnsi="Avenir Book" w:cs="Times New Roman"/>
          <w:b/>
          <w:bCs/>
          <w:kern w:val="0"/>
          <w:sz w:val="22"/>
          <w:szCs w:val="22"/>
          <w:u w:val="single"/>
          <w14:ligatures w14:val="none"/>
        </w:rPr>
        <w:t>Conclusion</w:t>
      </w:r>
    </w:p>
    <w:p w14:paraId="3133796E" w14:textId="66C51C68" w:rsidR="0081224A" w:rsidRPr="0062746F" w:rsidRDefault="0081224A" w:rsidP="0081224A">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Since its launch in 2024, the MHFA program has established a strong operational foundation. Early results indicate growing engagement, strong student satisfaction, and meaningful improvements in students’ confidence to support peers experiencing mental health challenges.</w:t>
      </w:r>
    </w:p>
    <w:p w14:paraId="1EC62CC2" w14:textId="77777777" w:rsidR="0081224A" w:rsidRPr="0062746F" w:rsidRDefault="0081224A" w:rsidP="0081224A">
      <w:pPr>
        <w:spacing w:before="100" w:beforeAutospacing="1" w:after="100" w:afterAutospacing="1" w:line="240" w:lineRule="auto"/>
        <w:rPr>
          <w:rFonts w:ascii="Avenir Book" w:eastAsia="Times New Roman" w:hAnsi="Avenir Book" w:cs="Times New Roman"/>
          <w:kern w:val="0"/>
          <w:sz w:val="22"/>
          <w:szCs w:val="22"/>
          <w14:ligatures w14:val="none"/>
        </w:rPr>
      </w:pPr>
      <w:r w:rsidRPr="0062746F">
        <w:rPr>
          <w:rFonts w:ascii="Avenir Book" w:eastAsia="Times New Roman" w:hAnsi="Avenir Book" w:cs="Times New Roman"/>
          <w:kern w:val="0"/>
          <w:sz w:val="22"/>
          <w:szCs w:val="22"/>
          <w14:ligatures w14:val="none"/>
        </w:rPr>
        <w:t>With continued collaboration between councils, universities and MHFA Australia, the program is well positioned to scale further and contribute significantly to strengthening mental health awareness and peer support within Australia’s future health workforce.</w:t>
      </w:r>
    </w:p>
    <w:p w14:paraId="1D0C8E93" w14:textId="77777777" w:rsidR="00551701" w:rsidRPr="0062746F" w:rsidRDefault="00551701" w:rsidP="00646CE8">
      <w:pPr>
        <w:spacing w:after="0" w:line="240" w:lineRule="auto"/>
        <w:rPr>
          <w:rFonts w:ascii="Avenir Book" w:eastAsia="Times New Roman" w:hAnsi="Avenir Book" w:cs="Times New Roman"/>
          <w:kern w:val="0"/>
          <w:sz w:val="22"/>
          <w:szCs w:val="22"/>
          <w14:ligatures w14:val="none"/>
        </w:rPr>
      </w:pPr>
    </w:p>
    <w:sectPr w:rsidR="00551701" w:rsidRPr="0062746F" w:rsidSect="00526490">
      <w:pgSz w:w="12240" w:h="15840"/>
      <w:pgMar w:top="306" w:right="1440" w:bottom="30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4A1"/>
    <w:multiLevelType w:val="multilevel"/>
    <w:tmpl w:val="D92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A6AAF"/>
    <w:multiLevelType w:val="hybridMultilevel"/>
    <w:tmpl w:val="0562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1604A"/>
    <w:multiLevelType w:val="multilevel"/>
    <w:tmpl w:val="6D00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55C8C"/>
    <w:multiLevelType w:val="hybridMultilevel"/>
    <w:tmpl w:val="7B54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62475"/>
    <w:multiLevelType w:val="multilevel"/>
    <w:tmpl w:val="A1A4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E4F00"/>
    <w:multiLevelType w:val="multilevel"/>
    <w:tmpl w:val="FF64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11916"/>
    <w:multiLevelType w:val="multilevel"/>
    <w:tmpl w:val="43C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924244">
    <w:abstractNumId w:val="0"/>
  </w:num>
  <w:num w:numId="2" w16cid:durableId="1043553014">
    <w:abstractNumId w:val="6"/>
  </w:num>
  <w:num w:numId="3" w16cid:durableId="1655524704">
    <w:abstractNumId w:val="3"/>
  </w:num>
  <w:num w:numId="4" w16cid:durableId="1083183032">
    <w:abstractNumId w:val="5"/>
  </w:num>
  <w:num w:numId="5" w16cid:durableId="1729575355">
    <w:abstractNumId w:val="4"/>
  </w:num>
  <w:num w:numId="6" w16cid:durableId="1627200544">
    <w:abstractNumId w:val="1"/>
  </w:num>
  <w:num w:numId="7" w16cid:durableId="201433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E8"/>
    <w:rsid w:val="0002751E"/>
    <w:rsid w:val="00044B4D"/>
    <w:rsid w:val="00055447"/>
    <w:rsid w:val="00073844"/>
    <w:rsid w:val="000C591E"/>
    <w:rsid w:val="00125796"/>
    <w:rsid w:val="003D254C"/>
    <w:rsid w:val="00464BED"/>
    <w:rsid w:val="00526490"/>
    <w:rsid w:val="00551701"/>
    <w:rsid w:val="0055444F"/>
    <w:rsid w:val="00583C5E"/>
    <w:rsid w:val="005E2B4B"/>
    <w:rsid w:val="0062746F"/>
    <w:rsid w:val="00646CE8"/>
    <w:rsid w:val="006A652B"/>
    <w:rsid w:val="0081224A"/>
    <w:rsid w:val="00A32865"/>
    <w:rsid w:val="00AA1E16"/>
    <w:rsid w:val="00C64B33"/>
    <w:rsid w:val="00D32F99"/>
    <w:rsid w:val="00DB3EF8"/>
    <w:rsid w:val="00DD2E99"/>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C905"/>
  <w15:chartTrackingRefBased/>
  <w15:docId w15:val="{D6C40EE3-4D63-0D4E-AA07-0D1B21E3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6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6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6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6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CE8"/>
    <w:rPr>
      <w:rFonts w:eastAsiaTheme="majorEastAsia" w:cstheme="majorBidi"/>
      <w:color w:val="272727" w:themeColor="text1" w:themeTint="D8"/>
    </w:rPr>
  </w:style>
  <w:style w:type="paragraph" w:styleId="Title">
    <w:name w:val="Title"/>
    <w:basedOn w:val="Normal"/>
    <w:next w:val="Normal"/>
    <w:link w:val="TitleChar"/>
    <w:uiPriority w:val="10"/>
    <w:qFormat/>
    <w:rsid w:val="00646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CE8"/>
    <w:pPr>
      <w:spacing w:before="160"/>
      <w:jc w:val="center"/>
    </w:pPr>
    <w:rPr>
      <w:i/>
      <w:iCs/>
      <w:color w:val="404040" w:themeColor="text1" w:themeTint="BF"/>
    </w:rPr>
  </w:style>
  <w:style w:type="character" w:customStyle="1" w:styleId="QuoteChar">
    <w:name w:val="Quote Char"/>
    <w:basedOn w:val="DefaultParagraphFont"/>
    <w:link w:val="Quote"/>
    <w:uiPriority w:val="29"/>
    <w:rsid w:val="00646CE8"/>
    <w:rPr>
      <w:i/>
      <w:iCs/>
      <w:color w:val="404040" w:themeColor="text1" w:themeTint="BF"/>
    </w:rPr>
  </w:style>
  <w:style w:type="paragraph" w:styleId="ListParagraph">
    <w:name w:val="List Paragraph"/>
    <w:basedOn w:val="Normal"/>
    <w:uiPriority w:val="34"/>
    <w:qFormat/>
    <w:rsid w:val="00646CE8"/>
    <w:pPr>
      <w:ind w:left="720"/>
      <w:contextualSpacing/>
    </w:pPr>
  </w:style>
  <w:style w:type="character" w:styleId="IntenseEmphasis">
    <w:name w:val="Intense Emphasis"/>
    <w:basedOn w:val="DefaultParagraphFont"/>
    <w:uiPriority w:val="21"/>
    <w:qFormat/>
    <w:rsid w:val="00646CE8"/>
    <w:rPr>
      <w:i/>
      <w:iCs/>
      <w:color w:val="0F4761" w:themeColor="accent1" w:themeShade="BF"/>
    </w:rPr>
  </w:style>
  <w:style w:type="paragraph" w:styleId="IntenseQuote">
    <w:name w:val="Intense Quote"/>
    <w:basedOn w:val="Normal"/>
    <w:next w:val="Normal"/>
    <w:link w:val="IntenseQuoteChar"/>
    <w:uiPriority w:val="30"/>
    <w:qFormat/>
    <w:rsid w:val="00646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CE8"/>
    <w:rPr>
      <w:i/>
      <w:iCs/>
      <w:color w:val="0F4761" w:themeColor="accent1" w:themeShade="BF"/>
    </w:rPr>
  </w:style>
  <w:style w:type="character" w:styleId="IntenseReference">
    <w:name w:val="Intense Reference"/>
    <w:basedOn w:val="DefaultParagraphFont"/>
    <w:uiPriority w:val="32"/>
    <w:qFormat/>
    <w:rsid w:val="00646CE8"/>
    <w:rPr>
      <w:b/>
      <w:bCs/>
      <w:smallCaps/>
      <w:color w:val="0F4761" w:themeColor="accent1" w:themeShade="BF"/>
      <w:spacing w:val="5"/>
    </w:rPr>
  </w:style>
  <w:style w:type="character" w:customStyle="1" w:styleId="bzpyqfadein">
    <w:name w:val="bz_pyq_fadein"/>
    <w:basedOn w:val="DefaultParagraphFont"/>
    <w:rsid w:val="00646CE8"/>
  </w:style>
  <w:style w:type="paragraph" w:styleId="NormalWeb">
    <w:name w:val="Normal (Web)"/>
    <w:basedOn w:val="Normal"/>
    <w:uiPriority w:val="99"/>
    <w:semiHidden/>
    <w:unhideWhenUsed/>
    <w:rsid w:val="00646C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Yeoman</dc:creator>
  <cp:keywords/>
  <dc:description/>
  <cp:lastModifiedBy>Leonie Yeoman</cp:lastModifiedBy>
  <cp:revision>16</cp:revision>
  <dcterms:created xsi:type="dcterms:W3CDTF">2026-03-16T00:07:00Z</dcterms:created>
  <dcterms:modified xsi:type="dcterms:W3CDTF">2026-03-18T22:41:00Z</dcterms:modified>
</cp:coreProperties>
</file>